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Lines="0" w:after="157" w:afterLines="50" w:line="560" w:lineRule="exact"/>
        <w:jc w:val="center"/>
        <w:outlineLvl w:val="9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信息公开内容及公开责任单位</w:t>
      </w:r>
    </w:p>
    <w:tbl>
      <w:tblPr>
        <w:tblStyle w:val="3"/>
        <w:tblW w:w="8943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0" w:type="dxa"/>
          <w:right w:w="0" w:type="dxa"/>
        </w:tblCellMar>
      </w:tblPr>
      <w:tblGrid>
        <w:gridCol w:w="645"/>
        <w:gridCol w:w="2009"/>
        <w:gridCol w:w="504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54" w:type="dxa"/>
            <w:gridSpan w:val="2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栏目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内容及责任单位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更新频率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c>
          <w:tcPr>
            <w:tcW w:w="2654" w:type="dxa"/>
            <w:gridSpan w:val="2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信息公开依据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珠海航空有限公司</w:t>
            </w:r>
            <w:r>
              <w:rPr>
                <w:rFonts w:hint="eastAsia" w:ascii="宋体" w:hAnsi="宋体" w:cs="宋体"/>
                <w:sz w:val="21"/>
                <w:szCs w:val="21"/>
              </w:rPr>
              <w:t>信息公开工作办法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c>
          <w:tcPr>
            <w:tcW w:w="2654" w:type="dxa"/>
            <w:gridSpan w:val="2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信息公开指南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由集团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信息中心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5" w:type="dxa"/>
            <w:vMerge w:val="restart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信息公开目录</w:t>
            </w:r>
          </w:p>
        </w:tc>
        <w:tc>
          <w:tcPr>
            <w:tcW w:w="2009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企业基本信息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企业工商注册登记及经营资质由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企管部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</w:rPr>
              <w:t>治理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结构由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企管部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负责公开；</w:t>
            </w:r>
          </w:p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公司组织</w:t>
            </w:r>
            <w:r>
              <w:rPr>
                <w:rFonts w:hint="eastAsia" w:ascii="宋体" w:hAnsi="宋体" w:cs="宋体"/>
                <w:sz w:val="21"/>
                <w:szCs w:val="21"/>
              </w:rPr>
              <w:t>架构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人力资源部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国有资本运营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主要财务指标：经审计的资产总额、负债总额、所有者权益总额、归母所有者权益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营业总收入、利润总额、净利润、归母净利润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审计报告意见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beforeLines="0" w:afterLines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国有资本保值增值情况：国有资本保值增值率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的年报（含关联交易信息）</w:t>
            </w:r>
            <w:r>
              <w:rPr>
                <w:rFonts w:hint="eastAsia"/>
                <w:sz w:val="21"/>
                <w:szCs w:val="21"/>
                <w:lang w:eastAsia="zh-CN"/>
              </w:rPr>
              <w:t>，由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每年（待上级批复后）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重大改制重组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</w:rPr>
              <w:t>改制重组</w:t>
            </w:r>
            <w:r>
              <w:rPr>
                <w:rFonts w:hint="eastAsia" w:ascii="宋体" w:hAnsi="宋体" w:cs="宋体"/>
                <w:sz w:val="21"/>
                <w:szCs w:val="21"/>
              </w:rPr>
              <w:t>方面可以公开的重要信息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企管部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负责公开；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产权交易信息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通过产权市场转让企业产权和企业增资的信息，由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企管部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各信息来源单位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根据其他</w:t>
            </w:r>
            <w:r>
              <w:rPr>
                <w:rFonts w:hint="eastAsia" w:ascii="宋体" w:hAnsi="宋体" w:cs="宋体"/>
                <w:sz w:val="21"/>
                <w:szCs w:val="21"/>
              </w:rPr>
              <w:t>法律法规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sz w:val="21"/>
                <w:szCs w:val="21"/>
              </w:rPr>
              <w:t>应当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在“信息公开”栏目</w:t>
            </w:r>
            <w:r>
              <w:rPr>
                <w:rFonts w:hint="eastAsia" w:ascii="宋体" w:hAnsi="宋体" w:cs="宋体"/>
                <w:sz w:val="21"/>
                <w:szCs w:val="21"/>
              </w:rPr>
              <w:t>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eastAsia" w:ascii="宋体" w:hAnsi="宋体" w:cs="宋体"/>
                <w:sz w:val="21"/>
                <w:szCs w:val="21"/>
              </w:rPr>
              <w:t>的信息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以及公司决策其他需要公开的信息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c>
          <w:tcPr>
            <w:tcW w:w="2654" w:type="dxa"/>
            <w:gridSpan w:val="2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信息公开年报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公司信息公开年度报告，由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负责公开；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0" w:type="dxa"/>
            <w:right w:w="0" w:type="dxa"/>
          </w:tblCellMar>
        </w:tblPrEx>
        <w:tc>
          <w:tcPr>
            <w:tcW w:w="2654" w:type="dxa"/>
            <w:gridSpan w:val="2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联系我们</w:t>
            </w:r>
          </w:p>
        </w:tc>
        <w:tc>
          <w:tcPr>
            <w:tcW w:w="5046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其他依照法律法规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应当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在“信息公开”栏目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公开的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联系方式，由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各信息来源单位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负责公开。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因需发布</w:t>
            </w:r>
          </w:p>
        </w:tc>
      </w:tr>
    </w:tbl>
    <w:p>
      <w:pPr>
        <w:spacing w:line="240" w:lineRule="auto"/>
        <w:rPr>
          <w:rFonts w:hint="eastAsia" w:ascii="宋体" w:hAnsi="宋体" w:cs="方正黑体_GBK"/>
          <w:bCs/>
          <w:sz w:val="21"/>
          <w:szCs w:val="21"/>
        </w:rPr>
      </w:pPr>
      <w:r>
        <w:rPr>
          <w:rFonts w:hint="eastAsia" w:ascii="宋体" w:hAnsi="宋体" w:cs="方正黑体_GBK"/>
          <w:bCs/>
          <w:sz w:val="21"/>
          <w:szCs w:val="21"/>
        </w:rPr>
        <w:br w:type="page"/>
      </w:r>
    </w:p>
    <w:tbl>
      <w:tblPr>
        <w:tblStyle w:val="2"/>
        <w:tblW w:w="96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6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 息 公 开 审 批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0" w:hRule="atLeast"/>
          <w:jc w:val="center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信息公开内容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信息来源部门领导意见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公司领导意见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许发</dc:creator>
  <cp:lastModifiedBy>李晓光</cp:lastModifiedBy>
  <dcterms:modified xsi:type="dcterms:W3CDTF">2021-08-25T08:35:45Z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